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1020" w14:textId="77777777" w:rsidR="00C720A0" w:rsidRDefault="008705BB" w:rsidP="0093405D">
      <w:pPr>
        <w:spacing w:before="120"/>
        <w:jc w:val="both"/>
        <w:rPr>
          <w:rFonts w:ascii="Palatino Linotype" w:hAnsi="Palatino Linotype"/>
        </w:rPr>
      </w:pPr>
      <w:r w:rsidRPr="008705BB">
        <w:rPr>
          <w:rFonts w:ascii="Palatino Linotype" w:hAnsi="Palatino Linotype"/>
        </w:rPr>
        <w:t xml:space="preserve">Dans le cadre de la médecine </w:t>
      </w:r>
      <w:r w:rsidRPr="008705BB">
        <w:rPr>
          <w:rFonts w:ascii="Palatino Linotype" w:hAnsi="Palatino Linotype"/>
        </w:rPr>
        <w:t>basée sur les preuves</w:t>
      </w:r>
      <w:r w:rsidRPr="008705BB">
        <w:rPr>
          <w:rFonts w:ascii="Palatino Linotype" w:hAnsi="Palatino Linotype"/>
        </w:rPr>
        <w:t>, les décisions en matière de soins de santé reposent sur de</w:t>
      </w:r>
      <w:r w:rsidRPr="008705BB">
        <w:rPr>
          <w:rFonts w:ascii="Palatino Linotype" w:hAnsi="Palatino Linotype"/>
        </w:rPr>
        <w:t xml:space="preserve">s </w:t>
      </w:r>
      <w:r w:rsidRPr="008705BB">
        <w:rPr>
          <w:rFonts w:ascii="Palatino Linotype" w:hAnsi="Palatino Linotype"/>
        </w:rPr>
        <w:t xml:space="preserve">facteurs </w:t>
      </w:r>
      <w:r w:rsidRPr="008705BB">
        <w:rPr>
          <w:rFonts w:ascii="Palatino Linotype" w:hAnsi="Palatino Linotype"/>
        </w:rPr>
        <w:t>tels que notamment</w:t>
      </w:r>
      <w:r w:rsidRPr="008705BB">
        <w:rPr>
          <w:rFonts w:ascii="Palatino Linotype" w:hAnsi="Palatino Linotype"/>
        </w:rPr>
        <w:t xml:space="preserve"> l'expérience du clinicien, les alternatives disponibles, les preuves, les avantages et les inconvénients potentiels, les ajustements au choix du patient, l'âge, le sexe, les comorbidités, ainsi que les considérations sociales et économiques (du pays).</w:t>
      </w:r>
    </w:p>
    <w:p w14:paraId="2772877D" w14:textId="77777777" w:rsidR="00C720A0" w:rsidRDefault="008705BB" w:rsidP="0093405D">
      <w:pPr>
        <w:spacing w:before="120"/>
        <w:jc w:val="both"/>
        <w:rPr>
          <w:rFonts w:ascii="Palatino Linotype" w:hAnsi="Palatino Linotype"/>
        </w:rPr>
      </w:pPr>
      <w:r w:rsidRPr="008705BB">
        <w:rPr>
          <w:rFonts w:ascii="Palatino Linotype" w:hAnsi="Palatino Linotype"/>
        </w:rPr>
        <w:t>Les</w:t>
      </w:r>
      <w:r w:rsidRPr="008705BB">
        <w:rPr>
          <w:rFonts w:ascii="Palatino Linotype" w:hAnsi="Palatino Linotype"/>
        </w:rPr>
        <w:t xml:space="preserve"> lignes directrices (</w:t>
      </w:r>
      <w:proofErr w:type="spellStart"/>
      <w:r w:rsidRPr="008705BB">
        <w:rPr>
          <w:rFonts w:ascii="Palatino Linotype" w:hAnsi="Palatino Linotype"/>
        </w:rPr>
        <w:t>Clinical</w:t>
      </w:r>
      <w:proofErr w:type="spellEnd"/>
      <w:r w:rsidRPr="008705BB">
        <w:rPr>
          <w:rFonts w:ascii="Palatino Linotype" w:hAnsi="Palatino Linotype"/>
        </w:rPr>
        <w:t xml:space="preserve"> Practice Guideline, CPG) sont censées répondre à la plupart de ces questions en s’appuyant sur les résultats de </w:t>
      </w:r>
      <w:r w:rsidRPr="008705BB">
        <w:rPr>
          <w:rFonts w:ascii="Palatino Linotype" w:hAnsi="Palatino Linotype"/>
        </w:rPr>
        <w:t>méta-analyses et/ou d</w:t>
      </w:r>
      <w:r w:rsidRPr="008705BB">
        <w:rPr>
          <w:rFonts w:ascii="Palatino Linotype" w:hAnsi="Palatino Linotype"/>
        </w:rPr>
        <w:t>’</w:t>
      </w:r>
      <w:r w:rsidRPr="008705BB">
        <w:rPr>
          <w:rFonts w:ascii="Palatino Linotype" w:hAnsi="Palatino Linotype"/>
        </w:rPr>
        <w:t>analyses (systématiques) bien conçues de la littérature.</w:t>
      </w:r>
    </w:p>
    <w:p w14:paraId="22825251" w14:textId="77777777" w:rsidR="00AA6E7F" w:rsidRDefault="008705BB" w:rsidP="0093405D">
      <w:pPr>
        <w:spacing w:before="120"/>
        <w:jc w:val="both"/>
        <w:rPr>
          <w:rFonts w:ascii="Palatino Linotype" w:hAnsi="Palatino Linotype"/>
        </w:rPr>
      </w:pPr>
      <w:r w:rsidRPr="008705BB">
        <w:rPr>
          <w:rFonts w:ascii="Palatino Linotype" w:hAnsi="Palatino Linotype"/>
        </w:rPr>
        <w:t xml:space="preserve">Au cours des trente dernières années, les </w:t>
      </w:r>
      <w:r w:rsidRPr="008705BB">
        <w:rPr>
          <w:rFonts w:ascii="Palatino Linotype" w:hAnsi="Palatino Linotype"/>
        </w:rPr>
        <w:t xml:space="preserve">lignes directrices se sont </w:t>
      </w:r>
      <w:r w:rsidR="00C720A0">
        <w:rPr>
          <w:rFonts w:ascii="Palatino Linotype" w:hAnsi="Palatino Linotype"/>
        </w:rPr>
        <w:t xml:space="preserve">multipliées </w:t>
      </w:r>
      <w:r w:rsidRPr="008705BB">
        <w:rPr>
          <w:rFonts w:ascii="Palatino Linotype" w:hAnsi="Palatino Linotype"/>
        </w:rPr>
        <w:t xml:space="preserve">dans de nombreux domaines </w:t>
      </w:r>
      <w:r w:rsidRPr="008705BB">
        <w:rPr>
          <w:rFonts w:ascii="Palatino Linotype" w:hAnsi="Palatino Linotype"/>
        </w:rPr>
        <w:t>—</w:t>
      </w:r>
      <w:r w:rsidRPr="008705BB">
        <w:rPr>
          <w:rFonts w:ascii="Palatino Linotype" w:hAnsi="Palatino Linotype"/>
        </w:rPr>
        <w:t xml:space="preserve"> y compris le diagnostic et le traitement du TDAH </w:t>
      </w:r>
      <w:r w:rsidRPr="008705BB">
        <w:rPr>
          <w:rFonts w:ascii="Palatino Linotype" w:hAnsi="Palatino Linotype"/>
        </w:rPr>
        <w:t>—</w:t>
      </w:r>
      <w:r w:rsidRPr="008705BB">
        <w:rPr>
          <w:rFonts w:ascii="Palatino Linotype" w:hAnsi="Palatino Linotype"/>
        </w:rPr>
        <w:t xml:space="preserve"> mais nombre d'entre </w:t>
      </w:r>
      <w:r w:rsidRPr="008705BB">
        <w:rPr>
          <w:rFonts w:ascii="Palatino Linotype" w:hAnsi="Palatino Linotype"/>
        </w:rPr>
        <w:t>elles</w:t>
      </w:r>
      <w:r w:rsidRPr="008705BB">
        <w:rPr>
          <w:rFonts w:ascii="Palatino Linotype" w:hAnsi="Palatino Linotype"/>
        </w:rPr>
        <w:t xml:space="preserve"> ne répondent pas aux critères de qualité de base. En effet, les exigences méthodologiques </w:t>
      </w:r>
      <w:r w:rsidR="009A439F">
        <w:rPr>
          <w:rFonts w:ascii="Palatino Linotype" w:hAnsi="Palatino Linotype"/>
        </w:rPr>
        <w:t>sont fortes</w:t>
      </w:r>
      <w:r w:rsidRPr="008705BB">
        <w:rPr>
          <w:rFonts w:ascii="Palatino Linotype" w:hAnsi="Palatino Linotype"/>
        </w:rPr>
        <w:t xml:space="preserve"> tout au long des processus de collecte et de rédaction des </w:t>
      </w:r>
      <w:r w:rsidRPr="008705BB">
        <w:rPr>
          <w:rFonts w:ascii="Palatino Linotype" w:hAnsi="Palatino Linotype"/>
        </w:rPr>
        <w:t>preuves</w:t>
      </w:r>
      <w:r w:rsidRPr="008705BB">
        <w:rPr>
          <w:rFonts w:ascii="Palatino Linotype" w:hAnsi="Palatino Linotype"/>
        </w:rPr>
        <w:t xml:space="preserve"> pour aboutir à la publication de </w:t>
      </w:r>
      <w:r w:rsidRPr="008705BB">
        <w:rPr>
          <w:rFonts w:ascii="Palatino Linotype" w:hAnsi="Palatino Linotype"/>
        </w:rPr>
        <w:t>lignes directrices</w:t>
      </w:r>
      <w:r w:rsidRPr="008705BB">
        <w:rPr>
          <w:rFonts w:ascii="Palatino Linotype" w:hAnsi="Palatino Linotype"/>
        </w:rPr>
        <w:t xml:space="preserve"> fiables et applicables.</w:t>
      </w:r>
    </w:p>
    <w:p w14:paraId="506B0DBA" w14:textId="77777777" w:rsidR="00AA6E7F" w:rsidRDefault="008705BB" w:rsidP="0093405D">
      <w:pPr>
        <w:spacing w:before="120"/>
        <w:jc w:val="both"/>
        <w:rPr>
          <w:rFonts w:ascii="Palatino Linotype" w:hAnsi="Palatino Linotype"/>
        </w:rPr>
      </w:pPr>
      <w:r w:rsidRPr="008705BB">
        <w:rPr>
          <w:rFonts w:ascii="Palatino Linotype" w:hAnsi="Palatino Linotype"/>
        </w:rPr>
        <w:t xml:space="preserve">Plusieurs séries d'exigences de ce type ont été publiées : par exemple, </w:t>
      </w:r>
      <w:proofErr w:type="spellStart"/>
      <w:r w:rsidRPr="008705BB">
        <w:rPr>
          <w:rFonts w:ascii="Palatino Linotype" w:hAnsi="Palatino Linotype"/>
        </w:rPr>
        <w:t>Clinical</w:t>
      </w:r>
      <w:proofErr w:type="spellEnd"/>
      <w:r w:rsidRPr="008705BB">
        <w:rPr>
          <w:rFonts w:ascii="Palatino Linotype" w:hAnsi="Palatino Linotype"/>
        </w:rPr>
        <w:t xml:space="preserve"> Practice Guidelines </w:t>
      </w:r>
      <w:proofErr w:type="spellStart"/>
      <w:r w:rsidRPr="008705BB">
        <w:rPr>
          <w:rFonts w:ascii="Palatino Linotype" w:hAnsi="Palatino Linotype"/>
        </w:rPr>
        <w:t>We</w:t>
      </w:r>
      <w:proofErr w:type="spellEnd"/>
      <w:r w:rsidRPr="008705BB">
        <w:rPr>
          <w:rFonts w:ascii="Palatino Linotype" w:hAnsi="Palatino Linotype"/>
        </w:rPr>
        <w:t xml:space="preserve"> Can Trust</w:t>
      </w:r>
      <w:r w:rsidRPr="008705BB">
        <w:rPr>
          <w:rFonts w:ascii="Palatino Linotype" w:hAnsi="Palatino Linotype"/>
        </w:rPr>
        <w:t xml:space="preserve"> (Institute of </w:t>
      </w:r>
      <w:proofErr w:type="spellStart"/>
      <w:r w:rsidRPr="008705BB">
        <w:rPr>
          <w:rFonts w:ascii="Palatino Linotype" w:hAnsi="Palatino Linotype"/>
        </w:rPr>
        <w:t>Medicine</w:t>
      </w:r>
      <w:proofErr w:type="spellEnd"/>
      <w:r w:rsidRPr="008705BB">
        <w:rPr>
          <w:rFonts w:ascii="Palatino Linotype" w:hAnsi="Palatino Linotype"/>
        </w:rPr>
        <w:t xml:space="preserve">, 2011), </w:t>
      </w:r>
      <w:r w:rsidRPr="008705BB">
        <w:rPr>
          <w:rFonts w:ascii="Palatino Linotype" w:hAnsi="Palatino Linotype"/>
        </w:rPr>
        <w:t xml:space="preserve">Guidelines International Network </w:t>
      </w:r>
      <w:r w:rsidRPr="008705BB">
        <w:rPr>
          <w:rFonts w:ascii="Palatino Linotype" w:hAnsi="Palatino Linotype"/>
        </w:rPr>
        <w:t>(</w:t>
      </w:r>
      <w:proofErr w:type="spellStart"/>
      <w:r w:rsidRPr="008705BB">
        <w:rPr>
          <w:rFonts w:ascii="Palatino Linotype" w:hAnsi="Palatino Linotype"/>
        </w:rPr>
        <w:t>Qaseem</w:t>
      </w:r>
      <w:proofErr w:type="spellEnd"/>
      <w:r w:rsidRPr="008705BB">
        <w:rPr>
          <w:rFonts w:ascii="Palatino Linotype" w:hAnsi="Palatino Linotype"/>
        </w:rPr>
        <w:t xml:space="preserve"> et al., 2012)</w:t>
      </w:r>
      <w:r w:rsidRPr="008705BB">
        <w:rPr>
          <w:rFonts w:ascii="Palatino Linotype" w:hAnsi="Palatino Linotype"/>
        </w:rPr>
        <w:t xml:space="preserve">, Guidelines 2.0 </w:t>
      </w:r>
      <w:r w:rsidRPr="008705BB">
        <w:rPr>
          <w:rFonts w:ascii="Palatino Linotype" w:hAnsi="Palatino Linotype"/>
        </w:rPr>
        <w:t>(</w:t>
      </w:r>
      <w:proofErr w:type="spellStart"/>
      <w:r w:rsidRPr="008705BB">
        <w:rPr>
          <w:rFonts w:ascii="Palatino Linotype" w:hAnsi="Palatino Linotype"/>
        </w:rPr>
        <w:t>Schünemann</w:t>
      </w:r>
      <w:proofErr w:type="spellEnd"/>
      <w:r w:rsidRPr="008705BB">
        <w:rPr>
          <w:rFonts w:ascii="Palatino Linotype" w:hAnsi="Palatino Linotype"/>
        </w:rPr>
        <w:t xml:space="preserve"> et al., 2014)</w:t>
      </w:r>
      <w:r w:rsidRPr="008705BB">
        <w:rPr>
          <w:rFonts w:ascii="Palatino Linotype" w:hAnsi="Palatino Linotype"/>
        </w:rPr>
        <w:t xml:space="preserve">, </w:t>
      </w:r>
      <w:proofErr w:type="spellStart"/>
      <w:r w:rsidRPr="008705BB">
        <w:rPr>
          <w:rFonts w:ascii="Palatino Linotype" w:hAnsi="Palatino Linotype"/>
        </w:rPr>
        <w:t>Developing</w:t>
      </w:r>
      <w:proofErr w:type="spellEnd"/>
      <w:r w:rsidRPr="008705BB">
        <w:rPr>
          <w:rFonts w:ascii="Palatino Linotype" w:hAnsi="Palatino Linotype"/>
        </w:rPr>
        <w:t xml:space="preserve"> NICE guidelines : the </w:t>
      </w:r>
      <w:proofErr w:type="spellStart"/>
      <w:r w:rsidRPr="008705BB">
        <w:rPr>
          <w:rFonts w:ascii="Palatino Linotype" w:hAnsi="Palatino Linotype"/>
        </w:rPr>
        <w:t>manual</w:t>
      </w:r>
      <w:proofErr w:type="spellEnd"/>
      <w:r w:rsidRPr="008705BB">
        <w:rPr>
          <w:rFonts w:ascii="Palatino Linotype" w:hAnsi="Palatino Linotype"/>
        </w:rPr>
        <w:t xml:space="preserve"> (NICE, 2015)</w:t>
      </w:r>
      <w:r w:rsidRPr="008705BB">
        <w:rPr>
          <w:rFonts w:ascii="Palatino Linotype" w:hAnsi="Palatino Linotype"/>
        </w:rPr>
        <w:t>.</w:t>
      </w:r>
      <w:r w:rsidR="00125D09">
        <w:rPr>
          <w:rFonts w:ascii="Palatino Linotype" w:hAnsi="Palatino Linotype"/>
        </w:rPr>
        <w:t xml:space="preserve"> Un consortium d</w:t>
      </w:r>
      <w:r w:rsidR="0093405D">
        <w:rPr>
          <w:rFonts w:ascii="Palatino Linotype" w:hAnsi="Palatino Linotype"/>
        </w:rPr>
        <w:t xml:space="preserve">e scientifiques </w:t>
      </w:r>
      <w:r w:rsidR="00684AE9">
        <w:rPr>
          <w:rFonts w:ascii="Palatino Linotype" w:hAnsi="Palatino Linotype"/>
        </w:rPr>
        <w:t>a</w:t>
      </w:r>
      <w:r w:rsidR="0093405D">
        <w:rPr>
          <w:rFonts w:ascii="Palatino Linotype" w:hAnsi="Palatino Linotype"/>
        </w:rPr>
        <w:t xml:space="preserve"> développé en 2009 et révisé en 2013 un outil pour l’évaluation rétrospective de la qualité de la conception et de la rédaction de lignes directrices : AGREE et AGREE-II (</w:t>
      </w:r>
      <w:proofErr w:type="spellStart"/>
      <w:r w:rsidRPr="008705BB">
        <w:rPr>
          <w:rFonts w:ascii="Palatino Linotype" w:hAnsi="Palatino Linotype"/>
        </w:rPr>
        <w:t>Appraisal</w:t>
      </w:r>
      <w:proofErr w:type="spellEnd"/>
      <w:r w:rsidRPr="008705BB">
        <w:rPr>
          <w:rFonts w:ascii="Palatino Linotype" w:hAnsi="Palatino Linotype"/>
        </w:rPr>
        <w:t xml:space="preserve"> of Guidelines for </w:t>
      </w:r>
      <w:proofErr w:type="spellStart"/>
      <w:r w:rsidRPr="008705BB">
        <w:rPr>
          <w:rFonts w:ascii="Palatino Linotype" w:hAnsi="Palatino Linotype"/>
        </w:rPr>
        <w:t>ResEarch</w:t>
      </w:r>
      <w:proofErr w:type="spellEnd"/>
      <w:r w:rsidRPr="008705BB">
        <w:rPr>
          <w:rFonts w:ascii="Palatino Linotype" w:hAnsi="Palatino Linotype"/>
        </w:rPr>
        <w:t xml:space="preserve"> &amp; </w:t>
      </w:r>
      <w:proofErr w:type="spellStart"/>
      <w:r w:rsidRPr="008705BB">
        <w:rPr>
          <w:rFonts w:ascii="Palatino Linotype" w:hAnsi="Palatino Linotype"/>
        </w:rPr>
        <w:t>Evaluation</w:t>
      </w:r>
      <w:proofErr w:type="spellEnd"/>
      <w:r w:rsidRPr="008705BB">
        <w:rPr>
          <w:rFonts w:ascii="Palatino Linotype" w:hAnsi="Palatino Linotype"/>
        </w:rPr>
        <w:t>)</w:t>
      </w:r>
      <w:r w:rsidR="0093405D">
        <w:rPr>
          <w:rFonts w:ascii="Palatino Linotype" w:hAnsi="Palatino Linotype"/>
        </w:rPr>
        <w:t xml:space="preserve">. Cette grille permet aussi de guider </w:t>
      </w:r>
      <w:r w:rsidRPr="008705BB">
        <w:rPr>
          <w:rFonts w:ascii="Palatino Linotype" w:hAnsi="Palatino Linotype"/>
        </w:rPr>
        <w:t>la rédaction de nouvelles lignes directrices.</w:t>
      </w:r>
    </w:p>
    <w:p w14:paraId="1CE1B560" w14:textId="7BB83E93" w:rsidR="003D7943" w:rsidRPr="008705BB" w:rsidRDefault="009B5C45" w:rsidP="0093405D">
      <w:pPr>
        <w:spacing w:before="120"/>
        <w:jc w:val="both"/>
        <w:rPr>
          <w:rFonts w:ascii="Palatino Linotype" w:hAnsi="Palatino Linotype"/>
        </w:rPr>
      </w:pPr>
      <w:r>
        <w:rPr>
          <w:rFonts w:ascii="Palatino Linotype" w:hAnsi="Palatino Linotype"/>
        </w:rPr>
        <w:t>Concernant le TDAH, plusieurs publications ont rapporté l’évaluation de lignes directrices permettant de constater</w:t>
      </w:r>
      <w:r w:rsidR="001F0D4F">
        <w:rPr>
          <w:rFonts w:ascii="Palatino Linotype" w:hAnsi="Palatino Linotype"/>
        </w:rPr>
        <w:t xml:space="preserve"> objectivement</w:t>
      </w:r>
      <w:r>
        <w:rPr>
          <w:rFonts w:ascii="Palatino Linotype" w:hAnsi="Palatino Linotype"/>
        </w:rPr>
        <w:t xml:space="preserve"> leurs points faibles et leurs points forts (Amer et al., 2019, Andrade et al., 2019, </w:t>
      </w:r>
      <w:proofErr w:type="spellStart"/>
      <w:r w:rsidR="00047051">
        <w:rPr>
          <w:rFonts w:ascii="Palatino Linotype" w:hAnsi="Palatino Linotype"/>
        </w:rPr>
        <w:t>Razzak</w:t>
      </w:r>
      <w:proofErr w:type="spellEnd"/>
      <w:r w:rsidR="00047051">
        <w:rPr>
          <w:rFonts w:ascii="Palatino Linotype" w:hAnsi="Palatino Linotype"/>
        </w:rPr>
        <w:t xml:space="preserve"> et al., 2021, et </w:t>
      </w:r>
      <w:proofErr w:type="spellStart"/>
      <w:r w:rsidR="00047051">
        <w:rPr>
          <w:rFonts w:ascii="Palatino Linotype" w:hAnsi="Palatino Linotype"/>
        </w:rPr>
        <w:t>Seixas</w:t>
      </w:r>
      <w:proofErr w:type="spellEnd"/>
      <w:r w:rsidR="00047051">
        <w:rPr>
          <w:rFonts w:ascii="Palatino Linotype" w:hAnsi="Palatino Linotype"/>
        </w:rPr>
        <w:t xml:space="preserve"> et al., 2012).</w:t>
      </w:r>
    </w:p>
    <w:p w14:paraId="185F590D" w14:textId="09334CA6" w:rsidR="008705BB" w:rsidRPr="008705BB" w:rsidRDefault="008705BB" w:rsidP="0093405D">
      <w:pPr>
        <w:spacing w:before="120"/>
        <w:jc w:val="both"/>
        <w:rPr>
          <w:rFonts w:ascii="Palatino Linotype" w:hAnsi="Palatino Linotype"/>
          <w:b/>
          <w:bCs/>
        </w:rPr>
      </w:pPr>
      <w:r w:rsidRPr="008705BB">
        <w:rPr>
          <w:rFonts w:ascii="Palatino Linotype" w:hAnsi="Palatino Linotype"/>
          <w:b/>
          <w:bCs/>
        </w:rPr>
        <w:t>Références bibliographiques</w:t>
      </w:r>
    </w:p>
    <w:p w14:paraId="0533F743" w14:textId="77777777" w:rsidR="005A3062" w:rsidRPr="009B5C45" w:rsidRDefault="005A3062" w:rsidP="009B5C45">
      <w:pPr>
        <w:pStyle w:val="EndNoteBibliography"/>
        <w:rPr>
          <w:rFonts w:ascii="Palatino Linotype" w:hAnsi="Palatino Linotype"/>
          <w:noProof/>
          <w:lang w:val="en-US"/>
        </w:rPr>
      </w:pPr>
      <w:r w:rsidRPr="005A3062">
        <w:rPr>
          <w:rFonts w:ascii="Palatino Linotype" w:hAnsi="Palatino Linotype"/>
          <w:noProof/>
        </w:rPr>
        <w:t xml:space="preserve">Amer YS, Al-Joudi HF, Varnham JL, Bashiri FA, Hamad MH, Al Salehi SM, et al. </w:t>
      </w:r>
      <w:r w:rsidRPr="009B5C45">
        <w:rPr>
          <w:rFonts w:ascii="Palatino Linotype" w:hAnsi="Palatino Linotype"/>
          <w:noProof/>
          <w:lang w:val="en-US"/>
        </w:rPr>
        <w:t>Appraisal of clinical practice guidelines for the management of attention deficit hyperactivity disorder (ADHD) using the AGREE II Instrument: A systematic review. PLoS One. 2019;14(7):e0219239.</w:t>
      </w:r>
    </w:p>
    <w:p w14:paraId="35A183D5" w14:textId="77777777" w:rsidR="005A3062" w:rsidRPr="008705BB" w:rsidRDefault="005A3062" w:rsidP="009B5C45">
      <w:pPr>
        <w:pStyle w:val="EndNoteBibliography"/>
        <w:rPr>
          <w:rFonts w:ascii="Palatino Linotype" w:hAnsi="Palatino Linotype"/>
          <w:noProof/>
          <w:lang w:val="en-US"/>
        </w:rPr>
      </w:pPr>
      <w:r w:rsidRPr="009B5C45">
        <w:rPr>
          <w:rFonts w:ascii="Palatino Linotype" w:hAnsi="Palatino Linotype"/>
          <w:noProof/>
          <w:lang w:val="en-US"/>
        </w:rPr>
        <w:t>Andrade BF, Courtney D, Duda S, Aitken M, Craig SG, Szatmari P, et al. A Systematic Review and Evaluation of Clinical Practice Guidelines for Children and Youth with Disruptive Behavior: Rigor of Development and Recommendations for Use. Clinical Child and Family Psychology Review. 2019;22(4):527-48.</w:t>
      </w:r>
    </w:p>
    <w:p w14:paraId="104B4897" w14:textId="77777777" w:rsidR="005A3062" w:rsidRPr="008705BB" w:rsidRDefault="005A3062" w:rsidP="00125D09">
      <w:pPr>
        <w:pStyle w:val="EndNoteBibliography"/>
        <w:rPr>
          <w:rFonts w:ascii="Palatino Linotype" w:hAnsi="Palatino Linotype"/>
          <w:noProof/>
          <w:lang w:val="en-US"/>
        </w:rPr>
      </w:pPr>
      <w:r w:rsidRPr="00125D09">
        <w:rPr>
          <w:rFonts w:ascii="Palatino Linotype" w:hAnsi="Palatino Linotype"/>
          <w:noProof/>
          <w:lang w:val="en-US"/>
        </w:rPr>
        <w:t>Brouwers M, Kho ME, Browman GP, Cluzeau F, feder G, Fervers B, Hanna S, Makarski J on behalf of the AGREE</w:t>
      </w:r>
      <w:r>
        <w:rPr>
          <w:rFonts w:ascii="Palatino Linotype" w:hAnsi="Palatino Linotype"/>
          <w:noProof/>
          <w:lang w:val="en-US"/>
        </w:rPr>
        <w:t xml:space="preserve"> </w:t>
      </w:r>
      <w:r w:rsidRPr="00125D09">
        <w:rPr>
          <w:rFonts w:ascii="Palatino Linotype" w:hAnsi="Palatino Linotype"/>
          <w:noProof/>
          <w:lang w:val="en-US"/>
        </w:rPr>
        <w:t>Next Steps Consortium. AGREE II: Advancing guideline development, reporting and evaluation in healthcare. Can</w:t>
      </w:r>
      <w:r>
        <w:rPr>
          <w:rFonts w:ascii="Palatino Linotype" w:hAnsi="Palatino Linotype"/>
          <w:noProof/>
          <w:lang w:val="en-US"/>
        </w:rPr>
        <w:t xml:space="preserve"> </w:t>
      </w:r>
      <w:r w:rsidRPr="00125D09">
        <w:rPr>
          <w:rFonts w:ascii="Palatino Linotype" w:hAnsi="Palatino Linotype"/>
          <w:noProof/>
          <w:lang w:val="en-US"/>
        </w:rPr>
        <w:t>Med Assoc J. Dec 2010, 182:E839-842; doi: 10.1503/cmaj.090449</w:t>
      </w:r>
    </w:p>
    <w:p w14:paraId="332C83E6" w14:textId="77777777" w:rsidR="005A3062" w:rsidRPr="008705BB" w:rsidRDefault="005A3062" w:rsidP="008705BB">
      <w:pPr>
        <w:pStyle w:val="EndNoteBibliography"/>
        <w:rPr>
          <w:rFonts w:ascii="Palatino Linotype" w:hAnsi="Palatino Linotype"/>
          <w:noProof/>
          <w:lang w:val="en-US"/>
        </w:rPr>
      </w:pPr>
      <w:r w:rsidRPr="0093405D">
        <w:rPr>
          <w:rFonts w:ascii="Palatino Linotype" w:hAnsi="Palatino Linotype"/>
          <w:noProof/>
          <w:lang w:val="en-US"/>
        </w:rPr>
        <w:lastRenderedPageBreak/>
        <w:t xml:space="preserve">Institute of Medicine. </w:t>
      </w:r>
      <w:r w:rsidRPr="008705BB">
        <w:rPr>
          <w:rFonts w:ascii="Palatino Linotype" w:hAnsi="Palatino Linotype"/>
          <w:noProof/>
          <w:lang w:val="en-US"/>
        </w:rPr>
        <w:t>Clinical Practice Guidelines We Can Trust. Robin G, Michelle M, Dianne Miller W, Sheldon G, Earl S, editors. Washington, DC: The National Academies Press; 2011.</w:t>
      </w:r>
    </w:p>
    <w:p w14:paraId="4DCCED7D" w14:textId="77777777" w:rsidR="005A3062" w:rsidRDefault="005A3062" w:rsidP="008705BB">
      <w:pPr>
        <w:pStyle w:val="EndNoteBibliography"/>
        <w:rPr>
          <w:rFonts w:ascii="Palatino Linotype" w:hAnsi="Palatino Linotype"/>
          <w:noProof/>
          <w:lang w:val="en-US"/>
        </w:rPr>
      </w:pPr>
      <w:r w:rsidRPr="008705BB">
        <w:rPr>
          <w:rFonts w:ascii="Palatino Linotype" w:hAnsi="Palatino Linotype"/>
          <w:noProof/>
          <w:lang w:val="en-US"/>
        </w:rPr>
        <w:t>National Institute for Health Care Excellence. NICE Process and Methods Guides.  Developing NICE Guidelines: The Manual. London: National Institute for Health and Care Excellence (NICE) Copyright © 2015 National Institute for Health and Clinical Excellence, unless otherwise stated. All rights reserved.; 2015.</w:t>
      </w:r>
    </w:p>
    <w:p w14:paraId="49BFB392" w14:textId="77777777" w:rsidR="005A3062" w:rsidRPr="008705BB" w:rsidRDefault="005A3062" w:rsidP="008705BB">
      <w:pPr>
        <w:pStyle w:val="EndNoteBibliography"/>
        <w:rPr>
          <w:rFonts w:ascii="Palatino Linotype" w:hAnsi="Palatino Linotype"/>
          <w:noProof/>
          <w:lang w:val="en-US"/>
        </w:rPr>
      </w:pPr>
      <w:r w:rsidRPr="008705BB">
        <w:rPr>
          <w:rFonts w:ascii="Palatino Linotype" w:hAnsi="Palatino Linotype"/>
          <w:noProof/>
          <w:lang w:val="en-US"/>
        </w:rPr>
        <w:t>Qaseem A, Forland F, Macbeth F, Ollenschläger G, Phillips S, van der Wees P. Guidelines International Network: toward international standards for clinical practice guidelines. Annals of internal medicine. 2012;156(7):525-31.</w:t>
      </w:r>
    </w:p>
    <w:p w14:paraId="5A58B5BD" w14:textId="77777777" w:rsidR="005A3062" w:rsidRPr="009B5C45" w:rsidRDefault="005A3062" w:rsidP="009B5C45">
      <w:pPr>
        <w:pStyle w:val="EndNoteBibliography"/>
        <w:rPr>
          <w:rFonts w:ascii="Palatino Linotype" w:hAnsi="Palatino Linotype"/>
          <w:noProof/>
          <w:lang w:val="en-US"/>
        </w:rPr>
      </w:pPr>
      <w:r w:rsidRPr="009B5C45">
        <w:rPr>
          <w:rFonts w:ascii="Palatino Linotype" w:hAnsi="Palatino Linotype"/>
          <w:noProof/>
          <w:lang w:val="en-US"/>
        </w:rPr>
        <w:t>Razzak HA, Ghader N, Qureshi AA, Zafar M, Shaijan JF, Al Kuwari M. Clinical Practice Guidelines for the Evaluation and Diagnosis of Attention-Deficit/Hyperactivity Disorder in Children and Adolescents: A systematic review of the literature. Sultan Qaboos University medical journal. 2021;21(1):e12-e21.</w:t>
      </w:r>
    </w:p>
    <w:p w14:paraId="1840FB5D" w14:textId="77777777" w:rsidR="005A3062" w:rsidRDefault="005A3062" w:rsidP="008705BB">
      <w:pPr>
        <w:pStyle w:val="EndNoteBibliography"/>
        <w:rPr>
          <w:rFonts w:ascii="Palatino Linotype" w:hAnsi="Palatino Linotype"/>
          <w:noProof/>
          <w:lang w:val="en-US"/>
        </w:rPr>
      </w:pPr>
      <w:r w:rsidRPr="008705BB">
        <w:rPr>
          <w:rFonts w:ascii="Palatino Linotype" w:hAnsi="Palatino Linotype"/>
          <w:noProof/>
          <w:lang w:val="en-US"/>
        </w:rPr>
        <w:t xml:space="preserve">Schünemann HJ, Wiercioch W, Etxeandia I, Falavigna M, Santesso N, Mustafa R, et al. Guidelines 2.0: systematic development of a comprehensive checklist for a successful guideline enterprise. </w:t>
      </w:r>
      <w:r w:rsidRPr="008705BB">
        <w:rPr>
          <w:rFonts w:ascii="Palatino Linotype" w:hAnsi="Palatino Linotype"/>
          <w:noProof/>
        </w:rPr>
        <w:t xml:space="preserve">CMAJ : Canadian Medical Association journal = journal de l'Association medicale canadienne. </w:t>
      </w:r>
      <w:r w:rsidRPr="008705BB">
        <w:rPr>
          <w:rFonts w:ascii="Palatino Linotype" w:hAnsi="Palatino Linotype"/>
          <w:noProof/>
          <w:lang w:val="en-US"/>
        </w:rPr>
        <w:t>2014;186(3):E123-42.</w:t>
      </w:r>
    </w:p>
    <w:p w14:paraId="0FF7E140" w14:textId="77777777" w:rsidR="005A3062" w:rsidRPr="009B5C45" w:rsidRDefault="005A3062" w:rsidP="009B5C45">
      <w:pPr>
        <w:pStyle w:val="EndNoteBibliography"/>
        <w:rPr>
          <w:rFonts w:ascii="Palatino Linotype" w:hAnsi="Palatino Linotype"/>
          <w:noProof/>
          <w:lang w:val="en-US"/>
        </w:rPr>
      </w:pPr>
      <w:r w:rsidRPr="009B5C45">
        <w:rPr>
          <w:rFonts w:ascii="Palatino Linotype" w:hAnsi="Palatino Linotype"/>
          <w:noProof/>
          <w:lang w:val="en-US"/>
        </w:rPr>
        <w:t>Seixas M, Weiss M, Müller U. Systematic review of national and international guidelines on attention-deficit hyperactivity disorder. Journal of Psychopharmacology. 2012;26(6):753-65.</w:t>
      </w:r>
    </w:p>
    <w:p w14:paraId="0C91EBCC" w14:textId="77777777" w:rsidR="008705BB" w:rsidRPr="00125D09" w:rsidRDefault="008705BB" w:rsidP="008705BB">
      <w:pPr>
        <w:rPr>
          <w:rFonts w:ascii="Palatino Linotype" w:hAnsi="Palatino Linotype"/>
          <w:lang w:val="en-US"/>
        </w:rPr>
      </w:pPr>
    </w:p>
    <w:sectPr w:rsidR="008705BB" w:rsidRPr="00125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BB"/>
    <w:rsid w:val="00047051"/>
    <w:rsid w:val="000C5BCF"/>
    <w:rsid w:val="00125D09"/>
    <w:rsid w:val="001F0D4F"/>
    <w:rsid w:val="002918D1"/>
    <w:rsid w:val="003D7943"/>
    <w:rsid w:val="00441F7C"/>
    <w:rsid w:val="005A3062"/>
    <w:rsid w:val="00684AE9"/>
    <w:rsid w:val="008705BB"/>
    <w:rsid w:val="0093405D"/>
    <w:rsid w:val="009A439F"/>
    <w:rsid w:val="009B5C45"/>
    <w:rsid w:val="00AA6E7F"/>
    <w:rsid w:val="00C720A0"/>
    <w:rsid w:val="00CA6AF8"/>
    <w:rsid w:val="00EC18C2"/>
    <w:rsid w:val="00ED2CE1"/>
    <w:rsid w:val="00FA6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165B86"/>
  <w15:chartTrackingRefBased/>
  <w15:docId w15:val="{C6E2409B-5949-D84E-BBCC-EB100FD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
    <w:name w:val="EndNote Bibliography"/>
    <w:basedOn w:val="Normal"/>
    <w:rsid w:val="008705BB"/>
    <w:pPr>
      <w:spacing w:before="200"/>
      <w:jc w:val="both"/>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90E4-AAD1-F743-A7E8-A723869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666</Words>
  <Characters>3665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CACI</dc:creator>
  <cp:keywords/>
  <dc:description/>
  <cp:lastModifiedBy>Hervé CACI</cp:lastModifiedBy>
  <cp:revision>13</cp:revision>
  <dcterms:created xsi:type="dcterms:W3CDTF">2023-12-27T16:59:00Z</dcterms:created>
  <dcterms:modified xsi:type="dcterms:W3CDTF">2023-12-27T17:18:00Z</dcterms:modified>
</cp:coreProperties>
</file>